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F" w:rsidRPr="00ED2F2D" w:rsidRDefault="00C92E0F" w:rsidP="00C92E0F">
      <w:pPr>
        <w:shd w:val="clear" w:color="auto" w:fill="FFFFFF"/>
        <w:spacing w:before="199" w:after="199" w:line="240" w:lineRule="auto"/>
        <w:outlineLvl w:val="1"/>
        <w:rPr>
          <w:rFonts w:ascii="Arial" w:eastAsia="Times New Roman" w:hAnsi="Arial" w:cs="Arial"/>
          <w:b/>
          <w:sz w:val="32"/>
          <w:szCs w:val="32"/>
        </w:rPr>
      </w:pPr>
      <w:r w:rsidRPr="00ED2F2D">
        <w:rPr>
          <w:rFonts w:ascii="Arial" w:eastAsia="Times New Roman" w:hAnsi="Arial" w:cs="Arial"/>
          <w:b/>
          <w:sz w:val="32"/>
          <w:szCs w:val="32"/>
        </w:rPr>
        <w:t>CALCE MARMORINO</w:t>
      </w:r>
    </w:p>
    <w:p w:rsidR="00C92E0F" w:rsidRPr="00C92E0F" w:rsidRDefault="00C92E0F" w:rsidP="00C92E0F">
      <w:pPr>
        <w:shd w:val="clear" w:color="auto" w:fill="FFFFFF"/>
        <w:spacing w:before="240" w:after="240" w:line="250" w:lineRule="atLeast"/>
        <w:rPr>
          <w:rFonts w:ascii="Arial" w:eastAsia="Times New Roman" w:hAnsi="Arial" w:cs="Arial"/>
          <w:sz w:val="20"/>
          <w:szCs w:val="20"/>
        </w:rPr>
      </w:pPr>
      <w:r w:rsidRPr="00C92E0F">
        <w:rPr>
          <w:rFonts w:ascii="Arial" w:eastAsia="Times New Roman" w:hAnsi="Arial" w:cs="Arial"/>
          <w:sz w:val="20"/>
          <w:szCs w:val="20"/>
        </w:rPr>
        <w:t>Гладкое штукатурное покрытие на основе гашеной извести</w:t>
      </w:r>
    </w:p>
    <w:p w:rsidR="00C92E0F" w:rsidRPr="00C92E0F" w:rsidRDefault="00C92E0F" w:rsidP="00C92E0F">
      <w:pPr>
        <w:shd w:val="clear" w:color="auto" w:fill="FFFFFF"/>
        <w:spacing w:before="199" w:after="199" w:line="240" w:lineRule="auto"/>
        <w:outlineLvl w:val="1"/>
        <w:rPr>
          <w:rFonts w:ascii="Trebuchet MS" w:eastAsia="Times New Roman" w:hAnsi="Trebuchet MS" w:cs="Times New Roman"/>
          <w:sz w:val="28"/>
          <w:szCs w:val="28"/>
        </w:rPr>
      </w:pPr>
      <w:r w:rsidRPr="00C92E0F">
        <w:rPr>
          <w:rFonts w:ascii="Trebuchet MS" w:eastAsia="Times New Roman" w:hAnsi="Trebuchet MS" w:cs="Times New Roman"/>
          <w:sz w:val="28"/>
          <w:szCs w:val="28"/>
        </w:rPr>
        <w:t>Характеристики и область применения</w:t>
      </w:r>
    </w:p>
    <w:p w:rsidR="00C92E0F" w:rsidRPr="00A638FC" w:rsidRDefault="00C92E0F" w:rsidP="00C92E0F">
      <w:pPr>
        <w:shd w:val="clear" w:color="auto" w:fill="FFFFFF"/>
        <w:spacing w:before="240" w:after="240" w:line="250" w:lineRule="atLeast"/>
        <w:rPr>
          <w:rFonts w:ascii="Arial" w:eastAsia="Times New Roman" w:hAnsi="Arial" w:cs="Arial"/>
          <w:sz w:val="20"/>
          <w:szCs w:val="20"/>
        </w:rPr>
      </w:pPr>
      <w:r w:rsidRPr="00C92E0F">
        <w:rPr>
          <w:rFonts w:ascii="Arial" w:eastAsia="Times New Roman" w:hAnsi="Arial" w:cs="Arial"/>
          <w:sz w:val="20"/>
          <w:szCs w:val="20"/>
        </w:rPr>
        <w:t>«CALCE MARMORINO» - это настенное покрытие на основе гашеной извести, мраморного порошка и мраморной крошки, растительных добавок и органических активаторов сцепления. «CALCE MARMORINO» характеризуется оптимальным сцеплением с минеральными поверхностями на основе гашеной извести, смешанного строительного раствора или цемента. Воздухопроницаемость «CALCE MARMORINO» очень высокая, поскольку микрокристаллическая структура, порождаемая осаждением карбоната кальция, не изменяет пористости штукатурки. Благодаря высокой щелочности, проистекающей из неорганической природы покрытия, «CALCE MARMORINO» обладает особенно высокой сопротивляемостью появлению плесени и грибков. «CALCE MARMORINO» применяется при реставрации исторических объектов.</w:t>
      </w:r>
    </w:p>
    <w:p w:rsidR="00A638FC" w:rsidRPr="00C92E0F" w:rsidRDefault="00A638FC" w:rsidP="00C92E0F">
      <w:pPr>
        <w:shd w:val="clear" w:color="auto" w:fill="FFFFFF"/>
        <w:spacing w:before="240" w:after="240" w:line="250" w:lineRule="atLeast"/>
        <w:rPr>
          <w:rFonts w:ascii="Arial" w:eastAsia="Times New Roman" w:hAnsi="Arial" w:cs="Arial"/>
          <w:sz w:val="20"/>
          <w:szCs w:val="20"/>
        </w:rPr>
      </w:pPr>
      <w:r w:rsidRPr="00A638FC">
        <w:rPr>
          <w:rFonts w:ascii="Arial" w:hAnsi="Arial" w:cs="Arial"/>
          <w:sz w:val="20"/>
          <w:szCs w:val="20"/>
          <w:shd w:val="clear" w:color="auto" w:fill="FFFFFF"/>
        </w:rPr>
        <w:t xml:space="preserve">Гладкое декоративно-штукатурное покрытие мелкой фракции с полуматовым эффектом, также можно создавать рельефное с эффектом старины, покрытое </w:t>
      </w:r>
      <w:proofErr w:type="spellStart"/>
      <w:r w:rsidRPr="00A638FC">
        <w:rPr>
          <w:rFonts w:ascii="Arial" w:hAnsi="Arial" w:cs="Arial"/>
          <w:sz w:val="20"/>
          <w:szCs w:val="20"/>
          <w:shd w:val="clear" w:color="auto" w:fill="FFFFFF"/>
        </w:rPr>
        <w:t>Velatura</w:t>
      </w:r>
      <w:proofErr w:type="spellEnd"/>
    </w:p>
    <w:p w:rsidR="00C92E0F" w:rsidRPr="00C92E0F" w:rsidRDefault="00C92E0F" w:rsidP="00C92E0F">
      <w:pPr>
        <w:shd w:val="clear" w:color="auto" w:fill="FFFFFF"/>
        <w:spacing w:before="199" w:after="199" w:line="240" w:lineRule="auto"/>
        <w:outlineLvl w:val="1"/>
        <w:rPr>
          <w:rFonts w:ascii="Trebuchet MS" w:eastAsia="Times New Roman" w:hAnsi="Trebuchet MS" w:cs="Times New Roman"/>
          <w:sz w:val="28"/>
          <w:szCs w:val="28"/>
        </w:rPr>
      </w:pPr>
      <w:r w:rsidRPr="00C92E0F">
        <w:rPr>
          <w:rFonts w:ascii="Trebuchet MS" w:eastAsia="Times New Roman" w:hAnsi="Trebuchet MS" w:cs="Times New Roman"/>
          <w:sz w:val="28"/>
          <w:szCs w:val="28"/>
        </w:rPr>
        <w:t>Подготовка поверхности</w:t>
      </w:r>
    </w:p>
    <w:p w:rsidR="00C92E0F" w:rsidRPr="00C92E0F" w:rsidRDefault="00C92E0F" w:rsidP="00C92E0F">
      <w:pPr>
        <w:shd w:val="clear" w:color="auto" w:fill="FFFFFF"/>
        <w:spacing w:before="240" w:after="240" w:line="250" w:lineRule="atLeast"/>
        <w:rPr>
          <w:rFonts w:ascii="Arial" w:eastAsia="Times New Roman" w:hAnsi="Arial" w:cs="Arial"/>
          <w:sz w:val="20"/>
          <w:szCs w:val="20"/>
        </w:rPr>
      </w:pPr>
      <w:r w:rsidRPr="00C92E0F">
        <w:rPr>
          <w:rFonts w:ascii="Arial" w:eastAsia="Times New Roman" w:hAnsi="Arial" w:cs="Arial"/>
          <w:sz w:val="20"/>
          <w:szCs w:val="20"/>
        </w:rPr>
        <w:t xml:space="preserve">Штукатурку из известкового строительного раствора, песочно-цементного или цементного, если она сильно поглощающая </w:t>
      </w:r>
      <w:proofErr w:type="gramStart"/>
      <w:r w:rsidRPr="00C92E0F">
        <w:rPr>
          <w:rFonts w:ascii="Arial" w:eastAsia="Times New Roman" w:hAnsi="Arial" w:cs="Arial"/>
          <w:sz w:val="20"/>
          <w:szCs w:val="20"/>
        </w:rPr>
        <w:t>–н</w:t>
      </w:r>
      <w:proofErr w:type="gramEnd"/>
      <w:r w:rsidRPr="00C92E0F">
        <w:rPr>
          <w:rFonts w:ascii="Arial" w:eastAsia="Times New Roman" w:hAnsi="Arial" w:cs="Arial"/>
          <w:sz w:val="20"/>
          <w:szCs w:val="20"/>
        </w:rPr>
        <w:t xml:space="preserve">еобходимо смочить за день до нанесения «CALCE MARMORINO”.В случае наличия плесени или грибка, следует предварительно провести обработку </w:t>
      </w:r>
      <w:proofErr w:type="spellStart"/>
      <w:r w:rsidRPr="00C92E0F">
        <w:rPr>
          <w:rFonts w:ascii="Arial" w:eastAsia="Times New Roman" w:hAnsi="Arial" w:cs="Arial"/>
          <w:sz w:val="20"/>
          <w:szCs w:val="20"/>
        </w:rPr>
        <w:t>антибактерицидным</w:t>
      </w:r>
      <w:proofErr w:type="spellEnd"/>
      <w:r w:rsidRPr="00C92E0F">
        <w:rPr>
          <w:rFonts w:ascii="Arial" w:eastAsia="Times New Roman" w:hAnsi="Arial" w:cs="Arial"/>
          <w:sz w:val="20"/>
          <w:szCs w:val="20"/>
        </w:rPr>
        <w:t xml:space="preserve"> средством. Запрещается использовать грунтовку, будь она на воде или на растворителе.</w:t>
      </w:r>
    </w:p>
    <w:p w:rsidR="00C92E0F" w:rsidRPr="00C92E0F" w:rsidRDefault="00C92E0F" w:rsidP="00ED2F2D">
      <w:pPr>
        <w:shd w:val="clear" w:color="auto" w:fill="FFFFFF"/>
        <w:spacing w:before="199" w:after="199" w:line="240" w:lineRule="auto"/>
        <w:outlineLvl w:val="1"/>
        <w:rPr>
          <w:rFonts w:ascii="Arial" w:eastAsia="Times New Roman" w:hAnsi="Arial" w:cs="Arial"/>
          <w:sz w:val="20"/>
          <w:szCs w:val="20"/>
        </w:rPr>
      </w:pPr>
      <w:r w:rsidRPr="00C92E0F">
        <w:rPr>
          <w:rFonts w:ascii="Trebuchet MS" w:eastAsia="Times New Roman" w:hAnsi="Trebuchet MS" w:cs="Times New Roman"/>
          <w:sz w:val="28"/>
          <w:szCs w:val="28"/>
        </w:rPr>
        <w:t>Нанесение</w:t>
      </w:r>
      <w:r w:rsidR="00ED2F2D">
        <w:rPr>
          <w:rFonts w:ascii="Trebuchet MS" w:eastAsia="Times New Roman" w:hAnsi="Trebuchet MS" w:cs="Times New Roman"/>
          <w:sz w:val="28"/>
          <w:szCs w:val="28"/>
        </w:rPr>
        <w:t xml:space="preserve">: </w:t>
      </w:r>
      <w:r w:rsidRPr="00C92E0F">
        <w:rPr>
          <w:rFonts w:ascii="Arial" w:eastAsia="Times New Roman" w:hAnsi="Arial" w:cs="Arial"/>
          <w:sz w:val="20"/>
          <w:szCs w:val="20"/>
        </w:rPr>
        <w:t>На любой тип основы под покрытие рекомендуется наносить один слой закрепителя, придающего однородность</w:t>
      </w:r>
      <w:r w:rsidRPr="00A638FC">
        <w:rPr>
          <w:rFonts w:ascii="Arial" w:eastAsia="Times New Roman" w:hAnsi="Arial" w:cs="Arial"/>
          <w:sz w:val="20"/>
          <w:szCs w:val="20"/>
        </w:rPr>
        <w:t>.</w:t>
      </w:r>
    </w:p>
    <w:p w:rsidR="00C92E0F" w:rsidRPr="00C92E0F" w:rsidRDefault="00C92E0F" w:rsidP="00C92E0F">
      <w:pPr>
        <w:shd w:val="clear" w:color="auto" w:fill="FFFFFF"/>
        <w:spacing w:before="240" w:after="240" w:line="250" w:lineRule="atLeast"/>
        <w:rPr>
          <w:rFonts w:ascii="Arial" w:eastAsia="Times New Roman" w:hAnsi="Arial" w:cs="Arial"/>
          <w:sz w:val="20"/>
          <w:szCs w:val="20"/>
        </w:rPr>
      </w:pPr>
      <w:r w:rsidRPr="00C92E0F">
        <w:rPr>
          <w:rFonts w:ascii="Arial" w:eastAsia="Times New Roman" w:hAnsi="Arial" w:cs="Arial"/>
          <w:sz w:val="20"/>
          <w:szCs w:val="20"/>
        </w:rPr>
        <w:t>Этот материал готов к применению, только перемешать. Возможное наличие поверхностного слоя жидкости не отражается на качестве «CALCE MARMORINO»; необходимо слить жидкость, перемешать материал, а в случае необходимости понемногу добавлять какое-то количество жидкости, пока он не станет удобным для работы. «CALCE MARMORINO»наносится двумя слоями, с интервалом в 30 минут или 1 час, с помощью мастерка из нержавеющей стали, а в завершение совершаются круговые движения мастерком из губки, как для обычной штукатурки. Для получения гладкой поверхности необходимо завершить обработку нанесением одного слоя «CALCE RASATURA». Используемые инструменты следует промывать водой сразу же после их использования.</w:t>
      </w:r>
    </w:p>
    <w:p w:rsidR="00C92E0F" w:rsidRPr="00C92E0F" w:rsidRDefault="00C92E0F" w:rsidP="00C92E0F">
      <w:pPr>
        <w:shd w:val="clear" w:color="auto" w:fill="FFFFFF"/>
        <w:spacing w:before="199" w:after="199" w:line="240" w:lineRule="auto"/>
        <w:outlineLvl w:val="1"/>
        <w:rPr>
          <w:rFonts w:ascii="Trebuchet MS" w:eastAsia="Times New Roman" w:hAnsi="Trebuchet MS" w:cs="Times New Roman"/>
          <w:sz w:val="28"/>
          <w:szCs w:val="28"/>
        </w:rPr>
      </w:pPr>
      <w:r w:rsidRPr="00C92E0F">
        <w:rPr>
          <w:rFonts w:ascii="Trebuchet MS" w:eastAsia="Times New Roman" w:hAnsi="Trebuchet MS" w:cs="Times New Roman"/>
          <w:sz w:val="28"/>
          <w:szCs w:val="28"/>
        </w:rPr>
        <w:t>Технические данные</w:t>
      </w:r>
    </w:p>
    <w:tbl>
      <w:tblPr>
        <w:tblW w:w="0" w:type="auto"/>
        <w:jc w:val="center"/>
        <w:shd w:val="clear" w:color="auto" w:fill="FFFFFF"/>
        <w:tblCellMar>
          <w:top w:w="15" w:type="dxa"/>
          <w:left w:w="15" w:type="dxa"/>
          <w:bottom w:w="15" w:type="dxa"/>
          <w:right w:w="15" w:type="dxa"/>
        </w:tblCellMar>
        <w:tblLook w:val="04A0"/>
      </w:tblPr>
      <w:tblGrid>
        <w:gridCol w:w="6089"/>
        <w:gridCol w:w="1126"/>
      </w:tblGrid>
      <w:tr w:rsidR="00C92E0F" w:rsidRPr="00C92E0F" w:rsidTr="00C92E0F">
        <w:trPr>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A638FC">
              <w:rPr>
                <w:rFonts w:ascii="Arial" w:eastAsia="Times New Roman" w:hAnsi="Arial" w:cs="Arial"/>
                <w:b/>
                <w:bCs/>
                <w:sz w:val="20"/>
              </w:rPr>
              <w:t>Удельный вес (</w:t>
            </w:r>
            <w:proofErr w:type="gramStart"/>
            <w:r w:rsidRPr="00A638FC">
              <w:rPr>
                <w:rFonts w:ascii="Arial" w:eastAsia="Times New Roman" w:hAnsi="Arial" w:cs="Arial"/>
                <w:b/>
                <w:bCs/>
                <w:sz w:val="20"/>
              </w:rPr>
              <w:t>кг</w:t>
            </w:r>
            <w:proofErr w:type="gramEnd"/>
            <w:r w:rsidRPr="00A638FC">
              <w:rPr>
                <w:rFonts w:ascii="Arial" w:eastAsia="Times New Roman" w:hAnsi="Arial" w:cs="Arial"/>
                <w:b/>
                <w:bCs/>
                <w:sz w:val="20"/>
              </w:rPr>
              <w:t>/л)</w:t>
            </w:r>
          </w:p>
        </w:tc>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C92E0F">
              <w:rPr>
                <w:rFonts w:ascii="Arial" w:eastAsia="Times New Roman" w:hAnsi="Arial" w:cs="Arial"/>
                <w:sz w:val="20"/>
                <w:szCs w:val="20"/>
              </w:rPr>
              <w:t>1,70 ± 0,10</w:t>
            </w:r>
          </w:p>
        </w:tc>
      </w:tr>
      <w:tr w:rsidR="00C92E0F" w:rsidRPr="00C92E0F" w:rsidTr="00C92E0F">
        <w:trPr>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A638FC">
              <w:rPr>
                <w:rFonts w:ascii="Arial" w:eastAsia="Times New Roman" w:hAnsi="Arial" w:cs="Arial"/>
                <w:b/>
                <w:bCs/>
                <w:sz w:val="20"/>
              </w:rPr>
              <w:t xml:space="preserve">Величина </w:t>
            </w:r>
            <w:proofErr w:type="spellStart"/>
            <w:r w:rsidRPr="00A638FC">
              <w:rPr>
                <w:rFonts w:ascii="Arial" w:eastAsia="Times New Roman" w:hAnsi="Arial" w:cs="Arial"/>
                <w:b/>
                <w:bCs/>
                <w:sz w:val="20"/>
              </w:rPr>
              <w:t>рН</w:t>
            </w:r>
            <w:proofErr w:type="spellEnd"/>
          </w:p>
        </w:tc>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C92E0F">
              <w:rPr>
                <w:rFonts w:ascii="Arial" w:eastAsia="Times New Roman" w:hAnsi="Arial" w:cs="Arial"/>
                <w:sz w:val="20"/>
                <w:szCs w:val="20"/>
              </w:rPr>
              <w:t>13,0</w:t>
            </w:r>
          </w:p>
        </w:tc>
      </w:tr>
      <w:tr w:rsidR="00C92E0F" w:rsidRPr="00C92E0F" w:rsidTr="00C92E0F">
        <w:trPr>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A638FC">
              <w:rPr>
                <w:rFonts w:ascii="Arial" w:eastAsia="Times New Roman" w:hAnsi="Arial" w:cs="Arial"/>
                <w:b/>
                <w:bCs/>
                <w:sz w:val="20"/>
              </w:rPr>
              <w:t>Сухой экстракт (% по весу)</w:t>
            </w:r>
          </w:p>
        </w:tc>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C92E0F">
              <w:rPr>
                <w:rFonts w:ascii="Arial" w:eastAsia="Times New Roman" w:hAnsi="Arial" w:cs="Arial"/>
                <w:sz w:val="20"/>
                <w:szCs w:val="20"/>
              </w:rPr>
              <w:t>69 ± 0,10</w:t>
            </w:r>
          </w:p>
        </w:tc>
      </w:tr>
      <w:tr w:rsidR="00C92E0F" w:rsidRPr="00C92E0F" w:rsidTr="00C92E0F">
        <w:trPr>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A638FC">
              <w:rPr>
                <w:rFonts w:ascii="Arial" w:eastAsia="Times New Roman" w:hAnsi="Arial" w:cs="Arial"/>
                <w:b/>
                <w:bCs/>
                <w:sz w:val="20"/>
              </w:rPr>
              <w:t>Коэффициент сопротивления прохождению водяного пара</w:t>
            </w:r>
          </w:p>
        </w:tc>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C92E0F">
              <w:rPr>
                <w:rFonts w:ascii="Arial" w:eastAsia="Times New Roman" w:hAnsi="Arial" w:cs="Arial"/>
                <w:sz w:val="20"/>
                <w:szCs w:val="20"/>
              </w:rPr>
              <w:t>8</w:t>
            </w:r>
          </w:p>
        </w:tc>
      </w:tr>
      <w:tr w:rsidR="00C92E0F" w:rsidRPr="00C92E0F" w:rsidTr="00C92E0F">
        <w:trPr>
          <w:jc w:val="center"/>
        </w:trPr>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A638FC">
              <w:rPr>
                <w:rFonts w:ascii="Arial" w:eastAsia="Times New Roman" w:hAnsi="Arial" w:cs="Arial"/>
                <w:b/>
                <w:bCs/>
                <w:sz w:val="20"/>
              </w:rPr>
              <w:t xml:space="preserve">Расход, </w:t>
            </w:r>
            <w:proofErr w:type="gramStart"/>
            <w:r w:rsidRPr="00A638FC">
              <w:rPr>
                <w:rFonts w:ascii="Arial" w:eastAsia="Times New Roman" w:hAnsi="Arial" w:cs="Arial"/>
                <w:b/>
                <w:bCs/>
                <w:sz w:val="20"/>
              </w:rPr>
              <w:t>кг</w:t>
            </w:r>
            <w:proofErr w:type="gramEnd"/>
            <w:r w:rsidRPr="00A638FC">
              <w:rPr>
                <w:rFonts w:ascii="Arial" w:eastAsia="Times New Roman" w:hAnsi="Arial" w:cs="Arial"/>
                <w:b/>
                <w:bCs/>
                <w:sz w:val="20"/>
              </w:rPr>
              <w:t>/м²</w:t>
            </w:r>
          </w:p>
        </w:tc>
        <w:tc>
          <w:tcPr>
            <w:tcW w:w="0" w:type="auto"/>
            <w:tcBorders>
              <w:top w:val="single" w:sz="4" w:space="0" w:color="7F7F7F"/>
              <w:left w:val="single" w:sz="4" w:space="0" w:color="7F7F7F"/>
              <w:bottom w:val="single" w:sz="4" w:space="0" w:color="7F7F7F"/>
              <w:right w:val="single" w:sz="4" w:space="0" w:color="7F7F7F"/>
            </w:tcBorders>
            <w:shd w:val="clear" w:color="auto" w:fill="auto"/>
            <w:tcMar>
              <w:top w:w="63" w:type="dxa"/>
              <w:left w:w="63" w:type="dxa"/>
              <w:bottom w:w="63" w:type="dxa"/>
              <w:right w:w="63" w:type="dxa"/>
            </w:tcMar>
            <w:vAlign w:val="center"/>
            <w:hideMark/>
          </w:tcPr>
          <w:p w:rsidR="00C92E0F" w:rsidRPr="00C92E0F" w:rsidRDefault="00C92E0F" w:rsidP="00C92E0F">
            <w:pPr>
              <w:spacing w:after="0" w:line="250" w:lineRule="atLeast"/>
              <w:rPr>
                <w:rFonts w:ascii="Arial" w:eastAsia="Times New Roman" w:hAnsi="Arial" w:cs="Arial"/>
                <w:sz w:val="20"/>
                <w:szCs w:val="20"/>
              </w:rPr>
            </w:pPr>
            <w:r w:rsidRPr="00C92E0F">
              <w:rPr>
                <w:rFonts w:ascii="Arial" w:eastAsia="Times New Roman" w:hAnsi="Arial" w:cs="Arial"/>
                <w:sz w:val="20"/>
                <w:szCs w:val="20"/>
              </w:rPr>
              <w:t>2,00-2,50</w:t>
            </w:r>
          </w:p>
        </w:tc>
      </w:tr>
    </w:tbl>
    <w:p w:rsidR="00ED2F2D" w:rsidRDefault="00C92E0F" w:rsidP="00ED2F2D">
      <w:pPr>
        <w:shd w:val="clear" w:color="auto" w:fill="FFFFFF"/>
        <w:spacing w:before="199" w:after="199" w:line="240" w:lineRule="auto"/>
        <w:outlineLvl w:val="1"/>
        <w:rPr>
          <w:rFonts w:ascii="Arial" w:eastAsia="Times New Roman" w:hAnsi="Arial" w:cs="Arial"/>
          <w:sz w:val="20"/>
          <w:szCs w:val="20"/>
        </w:rPr>
      </w:pPr>
      <w:r w:rsidRPr="00C92E0F">
        <w:rPr>
          <w:rFonts w:ascii="Trebuchet MS" w:eastAsia="Times New Roman" w:hAnsi="Trebuchet MS" w:cs="Times New Roman"/>
          <w:sz w:val="28"/>
          <w:szCs w:val="28"/>
        </w:rPr>
        <w:t>Упаковка и хранение</w:t>
      </w:r>
      <w:r w:rsidR="00ED2F2D">
        <w:rPr>
          <w:rFonts w:ascii="Trebuchet MS" w:eastAsia="Times New Roman" w:hAnsi="Trebuchet MS" w:cs="Times New Roman"/>
          <w:sz w:val="28"/>
          <w:szCs w:val="28"/>
        </w:rPr>
        <w:t xml:space="preserve">: </w:t>
      </w:r>
      <w:r w:rsidRPr="00C92E0F">
        <w:rPr>
          <w:rFonts w:ascii="Arial" w:eastAsia="Times New Roman" w:hAnsi="Arial" w:cs="Arial"/>
          <w:sz w:val="20"/>
          <w:szCs w:val="20"/>
        </w:rPr>
        <w:t>«CALCHERA MARMORINO» поставляется в банках по 20 кг.</w:t>
      </w:r>
      <w:r w:rsidR="00ED2F2D">
        <w:rPr>
          <w:rFonts w:ascii="Arial" w:eastAsia="Times New Roman" w:hAnsi="Arial" w:cs="Arial"/>
          <w:sz w:val="20"/>
          <w:szCs w:val="20"/>
        </w:rPr>
        <w:t xml:space="preserve"> </w:t>
      </w:r>
      <w:r w:rsidRPr="00C92E0F">
        <w:rPr>
          <w:rFonts w:ascii="Arial" w:eastAsia="Times New Roman" w:hAnsi="Arial" w:cs="Arial"/>
          <w:sz w:val="20"/>
          <w:szCs w:val="20"/>
        </w:rPr>
        <w:t>Хранение в оригинальной упаковке при температуре от +5</w:t>
      </w:r>
      <w:proofErr w:type="gramStart"/>
      <w:r w:rsidRPr="00C92E0F">
        <w:rPr>
          <w:rFonts w:ascii="Arial" w:eastAsia="Times New Roman" w:hAnsi="Arial" w:cs="Arial"/>
          <w:sz w:val="20"/>
          <w:szCs w:val="20"/>
        </w:rPr>
        <w:t xml:space="preserve"> С</w:t>
      </w:r>
      <w:proofErr w:type="gramEnd"/>
      <w:r w:rsidRPr="00C92E0F">
        <w:rPr>
          <w:rFonts w:ascii="Arial" w:eastAsia="Times New Roman" w:hAnsi="Arial" w:cs="Arial"/>
          <w:sz w:val="20"/>
          <w:szCs w:val="20"/>
        </w:rPr>
        <w:t xml:space="preserve"> до + 30 С – 12 месяцев. Не допускать замораживания!</w:t>
      </w:r>
      <w:r w:rsidR="00ED2F2D">
        <w:rPr>
          <w:rFonts w:ascii="Arial" w:eastAsia="Times New Roman" w:hAnsi="Arial" w:cs="Arial"/>
          <w:sz w:val="20"/>
          <w:szCs w:val="20"/>
        </w:rPr>
        <w:t xml:space="preserve"> </w:t>
      </w:r>
    </w:p>
    <w:p w:rsidR="00ED2F2D" w:rsidRPr="00A638FC" w:rsidRDefault="00ED2F2D" w:rsidP="00ED2F2D">
      <w:pPr>
        <w:shd w:val="clear" w:color="auto" w:fill="FFFFFF"/>
        <w:spacing w:before="199" w:after="199" w:line="240" w:lineRule="auto"/>
        <w:outlineLvl w:val="1"/>
      </w:pPr>
      <w:r>
        <w:rPr>
          <w:rFonts w:ascii="Trebuchet MS" w:eastAsia="Times New Roman" w:hAnsi="Trebuchet MS" w:cs="Times New Roman"/>
          <w:sz w:val="28"/>
          <w:szCs w:val="28"/>
        </w:rPr>
        <w:t xml:space="preserve">Расход: </w:t>
      </w:r>
      <w:r w:rsidRPr="00ED2F2D">
        <w:rPr>
          <w:rFonts w:ascii="Arial" w:eastAsia="Times New Roman" w:hAnsi="Arial" w:cs="Arial"/>
          <w:sz w:val="20"/>
          <w:szCs w:val="20"/>
        </w:rPr>
        <w:t>1,0 - 1,5 кг/м²</w:t>
      </w:r>
      <w:r>
        <w:rPr>
          <w:rFonts w:ascii="Arial" w:eastAsia="Times New Roman" w:hAnsi="Arial" w:cs="Arial"/>
          <w:sz w:val="20"/>
          <w:szCs w:val="20"/>
        </w:rPr>
        <w:t xml:space="preserve">, т.е. 20кг = </w:t>
      </w:r>
      <w:r w:rsidRPr="00ED2F2D">
        <w:rPr>
          <w:rFonts w:ascii="Arial" w:eastAsia="Times New Roman" w:hAnsi="Arial" w:cs="Arial"/>
          <w:sz w:val="20"/>
          <w:szCs w:val="20"/>
        </w:rPr>
        <w:t>13,5-20 м²</w:t>
      </w:r>
    </w:p>
    <w:sectPr w:rsidR="00ED2F2D" w:rsidRPr="00A638FC" w:rsidSect="000A7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92E0F"/>
    <w:rsid w:val="000A7842"/>
    <w:rsid w:val="00A638FC"/>
    <w:rsid w:val="00BC6179"/>
    <w:rsid w:val="00C92E0F"/>
    <w:rsid w:val="00ED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842"/>
  </w:style>
  <w:style w:type="paragraph" w:styleId="2">
    <w:name w:val="heading 2"/>
    <w:basedOn w:val="a"/>
    <w:link w:val="20"/>
    <w:uiPriority w:val="9"/>
    <w:qFormat/>
    <w:rsid w:val="00C92E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2E0F"/>
    <w:rPr>
      <w:rFonts w:ascii="Times New Roman" w:eastAsia="Times New Roman" w:hAnsi="Times New Roman" w:cs="Times New Roman"/>
      <w:b/>
      <w:bCs/>
      <w:sz w:val="36"/>
      <w:szCs w:val="36"/>
    </w:rPr>
  </w:style>
  <w:style w:type="paragraph" w:styleId="a3">
    <w:name w:val="Normal (Web)"/>
    <w:basedOn w:val="a"/>
    <w:uiPriority w:val="99"/>
    <w:semiHidden/>
    <w:unhideWhenUsed/>
    <w:rsid w:val="00C92E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2E0F"/>
    <w:rPr>
      <w:b/>
      <w:bCs/>
    </w:rPr>
  </w:style>
</w:styles>
</file>

<file path=word/webSettings.xml><?xml version="1.0" encoding="utf-8"?>
<w:webSettings xmlns:r="http://schemas.openxmlformats.org/officeDocument/2006/relationships" xmlns:w="http://schemas.openxmlformats.org/wordprocessingml/2006/main">
  <w:divs>
    <w:div w:id="12758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Akkras</dc:creator>
  <cp:keywords/>
  <dc:description/>
  <cp:lastModifiedBy>Akkras</cp:lastModifiedBy>
  <cp:revision>4</cp:revision>
  <dcterms:created xsi:type="dcterms:W3CDTF">2014-11-14T14:59:00Z</dcterms:created>
  <dcterms:modified xsi:type="dcterms:W3CDTF">2014-11-15T07:13:00Z</dcterms:modified>
</cp:coreProperties>
</file>